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footnotes.xml" ContentType="application/vnd.openxmlformats-officedocument.wordprocessingml.footnotes+xml"/>
  <Override PartName="/word/endnotes.xml" ContentType="application/vnd.openxmlformats-officedocument.wordprocessingml.endnotes+xml"/>
  <Override PartName="/word/settings.xml" ContentType="application/vnd.openxmlformats-officedocument.wordprocessingml.settings+xml"/>
  <Override PartName="/word/comments.xml" ContentType="application/vnd.openxmlformats-officedocument.wordprocessingml.comment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36"/>
          <w:szCs w:val="36"/>
        </w:rPr>
        <w:t xml:space="preserve">Where the Numbers Come From: Hurricane &amp; Wildfire States</w:t>
      </w:r>
    </w:p>
    <w:p>
      <w:pPr>
        <w:spacing w:after="160"/>
      </w:pPr>
      <w:r>
        <w:rPr>
          <w:i/>
          <w:iCs/>
        </w:rPr>
        <w:t xml:space="preserve">How we calibrated the “Homeowners (Hurricane &amp; Wildfire States)” claim probabilities in our Insurance Analysis Calculator — which states qualify, why the hail belt doesn’t, and how we built the catastrophe tail.</w:t>
      </w:r>
    </w:p>
    <w:p>
      <w:pPr>
        <w:spacing w:after="160"/>
      </w:pPr>
      <w:r>
        <w:t xml:space="preserve">Our calculator’s high-risk homeowners preset answers a harder question than the Standard preset does: what does the annual risk picture look like for a home that’s genuinely in harm’s way — on a hurricane coast or in a wildfire zone? This page documents how we built those numbers, what they include, what they deliberately exclude, and the judgment calls we made along the way. As with everything in the calculator, every number here is a starting point you can edit.</w:t>
      </w:r>
    </w:p>
    <w:p>
      <w:pPr>
        <w:spacing w:after="160"/>
      </w:pPr>
      <w:r>
        <w:rPr>
          <w:b/>
          <w:bCs/>
        </w:rPr>
        <w:t xml:space="preserve">One framing decision matters more than any single number: this preset models a catastrophe-exposed home, not a state average.</w:t>
      </w:r>
      <w:r>
        <w:t xml:space="preserve"> The same state contains both. An inland home in Ocala, Florida faces risk not far from the national average; a barrier-island home near Fort Myers faces a different universe. If your home is in a hurricane or wildfire state but well away from the coast or the wildland edge, the Standard preset is probably closer to your reality.</w:t>
      </w:r>
    </w:p>
    <w:p>
      <w:pPr>
        <w:pStyle w:val="Heading1"/>
      </w:pPr>
      <w:r>
        <w:t xml:space="preserve">Which States Are We Talking About?</w:t>
      </w:r>
    </w:p>
    <w:p>
      <w:pPr>
        <w:spacing w:after="160"/>
      </w:pPr>
      <w:r>
        <w:t xml:space="preserve">“High-risk” gets thrown around loosely, so we anchored it to a specific definition: states where catastrophic perils — hurricanes and wildfires — create a meaningful probability of total or near-total home destruction. Four independent lines of evidence converge on the same short list:</w:t>
      </w:r>
    </w:p>
    <w:p>
      <w:pPr>
        <w:pStyle w:val="ListParagraph"/>
        <w:numPr>
          <w:ilvl w:val="0"/>
          <w:numId w:val="2"/>
        </w:numPr>
        <w:spacing w:after="120"/>
      </w:pPr>
      <w:r>
        <w:rPr>
          <w:b/>
          <w:bCs/>
        </w:rPr>
        <w:t xml:space="preserve">Premiums.</w:t>
      </w:r>
      <w:r>
        <w:t xml:space="preserve"> Against a national average around $2,500 (for $300,000 of dwelling coverage), Florida’s statewide average runs near $7,100 — the highest in the nation — with Louisiana next at roughly $6,000. Coastal sub-markets run far higher still: parts of coastal South Florida and the barrier islands routinely see five-figure premiums.</w:t>
      </w:r>
    </w:p>
    <w:p>
      <w:pPr>
        <w:pStyle w:val="ListParagraph"/>
        <w:numPr>
          <w:ilvl w:val="0"/>
          <w:numId w:val="2"/>
        </w:numPr>
        <w:spacing w:after="120"/>
      </w:pPr>
      <w:r>
        <w:rPr>
          <w:b/>
          <w:bCs/>
        </w:rPr>
        <w:t xml:space="preserve">Insurers leaving.</w:t>
      </w:r>
      <w:r>
        <w:t xml:space="preserve"> More than sixteen Florida insurers have failed or withdrawn since 2017. A December 2024 U.S. Senate Budget Committee investigation found that nearly all of the U.S. counties with the highest policy non-renewal rates were flood-prone, wildfire-exposed, or both — concentrated in Florida, Louisiana, California, and coastal Texas, and spreading to the coastal Carolinas and Hawaii.</w:t>
      </w:r>
    </w:p>
    <w:p>
      <w:pPr>
        <w:pStyle w:val="ListParagraph"/>
        <w:numPr>
          <w:ilvl w:val="0"/>
          <w:numId w:val="2"/>
        </w:numPr>
        <w:spacing w:after="120"/>
      </w:pPr>
      <w:r>
        <w:rPr>
          <w:b/>
          <w:bCs/>
        </w:rPr>
        <w:t xml:space="preserve">Insurers of last resort swelling.</w:t>
      </w:r>
      <w:r>
        <w:t xml:space="preserve"> When private insurers retreat, state-backed plans grow. California’s FAIR Plan roughly doubled in two years, ending 2025 with well over 600,000 policies and filing for its largest rate increase in at least seven years. Florida’s Citizens peaked above 1.4 million policies in 2023. Texas’s windstorm pool (TWIA) hit record enrollment and now writes the majority of wind coverage in some coastal counties.</w:t>
      </w:r>
    </w:p>
    <w:p>
      <w:pPr>
        <w:pStyle w:val="ListParagraph"/>
        <w:numPr>
          <w:ilvl w:val="0"/>
          <w:numId w:val="2"/>
        </w:numPr>
        <w:spacing w:after="120"/>
      </w:pPr>
      <w:r>
        <w:rPr>
          <w:b/>
          <w:bCs/>
        </w:rPr>
        <w:t xml:space="preserve">Catastrophe models.</w:t>
      </w:r>
      <w:r>
        <w:t xml:space="preserve"> FEMA’s National Risk Index and the major catastrophe modelers consistently rank hurricane losses (Florida, Louisiana, coastal Texas, the coastal Southeast) and wildfire losses (California holds roughly 44% of national wildfire expected loss) as the dominant sources of home-destruction risk in the country.</w:t>
      </w:r>
    </w:p>
    <w:p>
      <w:pPr>
        <w:spacing w:after="160"/>
      </w:pPr>
      <w:r>
        <w:t xml:space="preserve">The core list: </w:t>
      </w:r>
      <w:r>
        <w:rPr>
          <w:b/>
          <w:bCs/>
        </w:rPr>
        <w:t xml:space="preserve">Florida, Louisiana, California, and coastal Texas</w:t>
      </w:r>
      <w:r>
        <w:t xml:space="preserve">, with the coastal Carolinas, Mississippi, Alabama, Hawaii, and the wildfire-exposed parts of Colorado, Oregon, and Washington as reasonable additions. We named the preset by peril rather than by state — “Hurricane &amp; Wildfire States” — because the risk follows the coastline and the wildland edge, not the state line.</w:t>
      </w:r>
    </w:p>
    <w:p>
      <w:pPr>
        <w:pStyle w:val="Heading1"/>
      </w:pPr>
      <w:r>
        <w:t xml:space="preserve">Why the Hail Belt Isn’t Here</w:t>
      </w:r>
    </w:p>
    <w:p>
      <w:pPr>
        <w:spacing w:after="160"/>
      </w:pPr>
      <w:r>
        <w:t xml:space="preserve">Oklahoma, Kansas, and Nebraska have homeowners premiums that rival the hurricane states, and readers from those states might reasonably ask why they’re excluded. The answer is about the shape of the risk, not its size. Hail and severe-storm losses are high-frequency, partial-severity: they replace roofs, not houses. Roofing now accounts for roughly a quarter to a third of all residential property claim value nationally, and in a bad year more than half the roofs in a state like Kansas can take hail damage — but the houses are still standing. Even tornadoes, which absolutely can level a home, do so rarely in the aggregate: the violent EF4 and EF5 categories make up only one to two percent of all tornadoes, with damage paths measured in fractions of a mile.</w:t>
      </w:r>
    </w:p>
    <w:p>
      <w:pPr>
        <w:spacing w:after="160"/>
      </w:pPr>
      <w:r>
        <w:t xml:space="preserve">Our calculator’s framework cares enormously about that distinction. Frequent partial losses and rare total losses produce very different math, because the mathematics heavily penalizes outcomes that consume a large share of your wealth. A hail-belt home has a claims problem; a barrier-island home has a tail-risk problem. This preset models the second. (Hail-belt homeowners can approximate their situation by starting from the Standard preset and raising the moderate-claim frequency — or editing any rung directly.)</w:t>
      </w:r>
    </w:p>
    <w:p>
      <w:pPr>
        <w:pStyle w:val="Heading1"/>
      </w:pPr>
      <w:r>
        <w:t xml:space="preserve">The Distribution We Use</w:t>
      </w:r>
    </w:p>
    <w:p>
      <w:pPr>
        <w:spacing w:after="160"/>
      </w:pPr>
      <w:r>
        <w:t xml:space="preserve">Losses are expressed as a percentage of home value (we treat value and replacement cost as equal for simplicity), so the dollar amounts scale when you enter your own number. Shown for the preset’s default $600,000 home: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80"/>
        <w:gridCol w:w="1500"/>
        <w:gridCol w:w="1680"/>
        <w:gridCol w:w="1700"/>
        <w:gridCol w:w="1900"/>
      </w:tblGrid>
      <w:tr>
        <w:tc>
          <w:tcPr>
            <w:tcW w:type="dxa" w:w="2580"/>
            <w:tcBorders>
              <w:top w:val="single" w:color="CCCCCC" w:sz="1"/>
              <w:left w:val="single" w:color="CCCCCC" w:sz="1"/>
              <w:bottom w:val="single" w:color="CCCCCC" w:sz="1"/>
              <w:right w:val="single" w:color="CCCCCC" w:sz="1"/>
            </w:tcBorders>
            <w:shd w:fill="EAF1F8" w:val="clear"/>
            <w:tcMar>
              <w:top w:type="dxa" w:w="80"/>
              <w:left w:type="dxa" w:w="120"/>
              <w:bottom w:type="dxa" w:w="80"/>
              <w:right w:type="dxa" w:w="120"/>
            </w:tcMar>
          </w:tcPr>
          <w:p>
            <w:pPr>
              <w:jc w:val="left"/>
            </w:pPr>
            <w:r>
              <w:rPr>
                <w:b/>
                <w:bCs/>
                <w:sz w:val="20"/>
                <w:szCs w:val="20"/>
              </w:rPr>
              <w:t xml:space="preserve">Outcome</w:t>
            </w:r>
          </w:p>
        </w:tc>
        <w:tc>
          <w:tcPr>
            <w:tcW w:type="dxa" w:w="1500"/>
            <w:tcBorders>
              <w:top w:val="single" w:color="CCCCCC" w:sz="1"/>
              <w:left w:val="single" w:color="CCCCCC" w:sz="1"/>
              <w:bottom w:val="single" w:color="CCCCCC" w:sz="1"/>
              <w:right w:val="single" w:color="CCCCCC" w:sz="1"/>
            </w:tcBorders>
            <w:shd w:fill="EAF1F8" w:val="clear"/>
            <w:tcMar>
              <w:top w:type="dxa" w:w="80"/>
              <w:left w:type="dxa" w:w="120"/>
              <w:bottom w:type="dxa" w:w="80"/>
              <w:right w:type="dxa" w:w="120"/>
            </w:tcMar>
          </w:tcPr>
          <w:p>
            <w:pPr>
              <w:jc w:val="left"/>
            </w:pPr>
            <w:r>
              <w:rPr>
                <w:b/>
                <w:bCs/>
                <w:sz w:val="20"/>
                <w:szCs w:val="20"/>
              </w:rPr>
              <w:t xml:space="preserve">Annual Probability</w:t>
            </w:r>
          </w:p>
        </w:tc>
        <w:tc>
          <w:tcPr>
            <w:tcW w:type="dxa" w:w="1680"/>
            <w:tcBorders>
              <w:top w:val="single" w:color="CCCCCC" w:sz="1"/>
              <w:left w:val="single" w:color="CCCCCC" w:sz="1"/>
              <w:bottom w:val="single" w:color="CCCCCC" w:sz="1"/>
              <w:right w:val="single" w:color="CCCCCC" w:sz="1"/>
            </w:tcBorders>
            <w:shd w:fill="EAF1F8" w:val="clear"/>
            <w:tcMar>
              <w:top w:type="dxa" w:w="80"/>
              <w:left w:type="dxa" w:w="120"/>
              <w:bottom w:type="dxa" w:w="80"/>
              <w:right w:type="dxa" w:w="120"/>
            </w:tcMar>
          </w:tcPr>
          <w:p>
            <w:pPr>
              <w:jc w:val="left"/>
            </w:pPr>
            <w:r>
              <w:rPr>
                <w:b/>
                <w:bCs/>
                <w:sz w:val="20"/>
                <w:szCs w:val="20"/>
              </w:rPr>
              <w:t xml:space="preserve">Loss (% of value)</w:t>
            </w:r>
          </w:p>
        </w:tc>
        <w:tc>
          <w:tcPr>
            <w:tcW w:type="dxa" w:w="1700"/>
            <w:tcBorders>
              <w:top w:val="single" w:color="CCCCCC" w:sz="1"/>
              <w:left w:val="single" w:color="CCCCCC" w:sz="1"/>
              <w:bottom w:val="single" w:color="CCCCCC" w:sz="1"/>
              <w:right w:val="single" w:color="CCCCCC" w:sz="1"/>
            </w:tcBorders>
            <w:shd w:fill="EAF1F8" w:val="clear"/>
            <w:tcMar>
              <w:top w:type="dxa" w:w="80"/>
              <w:left w:type="dxa" w:w="120"/>
              <w:bottom w:type="dxa" w:w="80"/>
              <w:right w:type="dxa" w:w="120"/>
            </w:tcMar>
          </w:tcPr>
          <w:p>
            <w:pPr>
              <w:jc w:val="left"/>
            </w:pPr>
            <w:r>
              <w:rPr>
                <w:b/>
                <w:bCs/>
                <w:sz w:val="20"/>
                <w:szCs w:val="20"/>
              </w:rPr>
              <w:t xml:space="preserve">Loss on $600K home</w:t>
            </w:r>
          </w:p>
        </w:tc>
        <w:tc>
          <w:tcPr>
            <w:tcW w:type="dxa" w:w="1900"/>
            <w:tcBorders>
              <w:top w:val="single" w:color="CCCCCC" w:sz="1"/>
              <w:left w:val="single" w:color="CCCCCC" w:sz="1"/>
              <w:bottom w:val="single" w:color="CCCCCC" w:sz="1"/>
              <w:right w:val="single" w:color="CCCCCC" w:sz="1"/>
            </w:tcBorders>
            <w:shd w:fill="EAF1F8" w:val="clear"/>
            <w:tcMar>
              <w:top w:type="dxa" w:w="80"/>
              <w:left w:type="dxa" w:w="120"/>
              <w:bottom w:type="dxa" w:w="80"/>
              <w:right w:type="dxa" w:w="120"/>
            </w:tcMar>
          </w:tcPr>
          <w:p>
            <w:pPr>
              <w:jc w:val="left"/>
            </w:pPr>
            <w:r>
              <w:rPr>
                <w:b/>
                <w:bCs/>
                <w:sz w:val="20"/>
                <w:szCs w:val="20"/>
              </w:rPr>
              <w:t xml:space="preserve">What it represents</w:t>
            </w:r>
          </w:p>
        </w:tc>
      </w:tr>
      <w:tr>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No claim</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90.37%</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Most years, nothing happens</w:t>
            </w:r>
          </w:p>
        </w:tc>
      </w:tr>
      <w:tr>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Minor</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4.30%</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1.33%</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$8,000</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Leak, theft, small wind damage</w:t>
            </w:r>
          </w:p>
        </w:tc>
      </w:tr>
      <w:tr>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Moderate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2.60%</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4.17%</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$25,000</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Burst pipe, wind, hail</w:t>
            </w:r>
          </w:p>
        </w:tc>
      </w:tr>
      <w:tr>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Significant</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1.50%</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13.33%</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$80,000</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Serious storm, partial fire, major water</w:t>
            </w:r>
          </w:p>
        </w:tc>
      </w:tr>
      <w:tr>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Severe</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0.75%</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41.67%</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$250,000</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Major fire, Cat 3+ hurricane wind</w:t>
            </w:r>
          </w:p>
        </w:tc>
      </w:tr>
      <w:tr>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Near-total</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0.30%</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75%</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$450,000</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Catastrophic wind/fire, home barely salvageable</w:t>
            </w:r>
          </w:p>
        </w:tc>
      </w:tr>
      <w:tr>
        <w:tc>
          <w:tcPr>
            <w:tcW w:type="dxa" w:w="25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Total destruction</w:t>
            </w:r>
          </w:p>
        </w:tc>
        <w:tc>
          <w:tcPr>
            <w:tcW w:type="dxa" w:w="15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0.18%</w:t>
            </w:r>
          </w:p>
        </w:tc>
        <w:tc>
          <w:tcPr>
            <w:tcW w:type="dxa" w:w="168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100%</w:t>
            </w:r>
          </w:p>
        </w:tc>
        <w:tc>
          <w:tcPr>
            <w:tcW w:type="dxa" w:w="17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right"/>
            </w:pPr>
            <w:r>
              <w:rPr>
                <w:b w:val="false"/>
                <w:bCs w:val="false"/>
                <w:sz w:val="20"/>
                <w:szCs w:val="20"/>
              </w:rPr>
              <w:t xml:space="preserve">$600,000</w:t>
            </w:r>
          </w:p>
        </w:tc>
        <w:tc>
          <w:tcPr>
            <w:tcW w:type="dxa" w:w="1900"/>
            <w:tcBorders>
              <w:top w:val="single" w:color="CCCCCC" w:sz="1"/>
              <w:left w:val="single" w:color="CCCCCC" w:sz="1"/>
              <w:bottom w:val="single" w:color="CCCCCC" w:sz="1"/>
              <w:right w:val="single" w:color="CCCCCC" w:sz="1"/>
            </w:tcBorders>
            <w:tcMar>
              <w:top w:type="dxa" w:w="80"/>
              <w:left w:type="dxa" w:w="120"/>
              <w:bottom w:type="dxa" w:w="80"/>
              <w:right w:type="dxa" w:w="120"/>
            </w:tcMar>
          </w:tcPr>
          <w:p>
            <w:pPr>
              <w:jc w:val="left"/>
            </w:pPr>
            <w:r>
              <w:rPr>
                <w:b w:val="false"/>
                <w:bCs w:val="false"/>
                <w:sz w:val="20"/>
                <w:szCs w:val="20"/>
              </w:rPr>
              <w:t xml:space="preserve">Wildfire conflagration, Cat 4–5 landfall</w:t>
            </w:r>
          </w:p>
        </w:tc>
      </w:tr>
    </w:tbl>
    <w:p>
      <w:pPr>
        <w:spacing w:after="160" w:before="160"/>
      </w:pPr>
      <w:r>
        <w:t xml:space="preserve">Adding it up: a </w:t>
      </w:r>
      <w:r>
        <w:rPr>
          <w:b/>
          <w:bCs/>
        </w:rPr>
        <w:t xml:space="preserve">9.63% chance of having any claim</w:t>
      </w:r>
      <w:r>
        <w:t xml:space="preserve"> in a given year, and an expected annual loss of </w:t>
      </w:r>
      <w:r>
        <w:rPr>
          <w:b/>
          <w:bCs/>
        </w:rPr>
        <w:t xml:space="preserve">$6,499 — 1.08% of home value.</w:t>
      </w:r>
      <w:r>
        <w:t xml:space="preserve"> Compared with our Standard preset, that’s roughly 1.7× the claim frequency, 2.25× the total-destruction probability, and 2.25× the expected loss — the catastrophe difference, quantified.</w:t>
      </w:r>
    </w:p>
    <w:p>
      <w:pPr>
        <w:pStyle w:val="Heading1"/>
      </w:pPr>
      <w:r>
        <w:t xml:space="preserve">How We Built the Claim Frequency</w:t>
      </w:r>
    </w:p>
    <w:p>
      <w:pPr>
        <w:spacing w:after="160"/>
      </w:pPr>
      <w:r>
        <w:t xml:space="preserve">Here’s a surprise from the data: Florida’s everyday claim frequency — the burst pipes and small wind claims of a quiet year — runs near or even below the national average. What separates these markets is what happens when a catastrophe arrives. A single hurricane season can generate hundreds of thousands of claims in one state (Ian in 2022 and the Helene/Milton pair in 2024 each did), and a single fire event can do the same for a region (the January 2025 Los Angeles fires).</w:t>
      </w:r>
    </w:p>
    <w:p>
      <w:pPr>
        <w:spacing w:after="160"/>
      </w:pPr>
      <w:r>
        <w:t xml:space="preserve">A planning tool can’t use quiet-year numbers and ignore the loud years — the loud years are the whole point of insurance. So our frequency blends catastrophe years and quiet years into a long-run average: roughly 8–11 claims per 100 exposed homes per year, from which we use 9.63%. In any single quiet year, this preset will look pessimistic. Averaged over a decade that includes a landfall or a conflagration, it’s realistic.</w:t>
      </w:r>
    </w:p>
    <w:p>
      <w:pPr>
        <w:pStyle w:val="Heading1"/>
      </w:pPr>
      <w:r>
        <w:t xml:space="preserve">The Big One: Total Destruction at 1-in-555</w:t>
      </w:r>
    </w:p>
    <w:p>
      <w:pPr>
        <w:spacing w:after="160"/>
      </w:pPr>
      <w:r>
        <w:t xml:space="preserve">As with our Standard preset, nobody publishes an annual home-destruction probability — we built it from the catastrophe record:</w:t>
      </w:r>
    </w:p>
    <w:p>
      <w:pPr>
        <w:pStyle w:val="ListParagraph"/>
        <w:numPr>
          <w:ilvl w:val="0"/>
          <w:numId w:val="2"/>
        </w:numPr>
        <w:spacing w:after="120"/>
      </w:pPr>
      <w:r>
        <w:rPr>
          <w:b/>
          <w:bCs/>
        </w:rPr>
        <w:t xml:space="preserve">Hurricanes.</w:t>
      </w:r>
      <w:r>
        <w:t xml:space="preserve"> Hurricane Ian (2022) destroyed more than 5,000 homes in southwest Florida — in Lee County alone, official damage assessments counted over 5,300 structures destroyed and another 14,000+ with major damage. Hurricane Andrew (1992) destroyed more than 25,000 homes outright. On hard-hit barrier islands like Fort Myers Beach, a meaningful fraction of the entire housing stock was lost in a single event.</w:t>
      </w:r>
    </w:p>
    <w:p>
      <w:pPr>
        <w:pStyle w:val="ListParagraph"/>
        <w:numPr>
          <w:ilvl w:val="0"/>
          <w:numId w:val="2"/>
        </w:numPr>
        <w:spacing w:after="120"/>
      </w:pPr>
      <w:r>
        <w:rPr>
          <w:b/>
          <w:bCs/>
        </w:rPr>
        <w:t xml:space="preserve">Wildfires.</w:t>
      </w:r>
      <w:r>
        <w:t xml:space="preserve"> The Camp Fire (2018) destroyed roughly 13,900 homes; the January 2025 Palisades and Eaton fires destroyed 16,246 structures between them, per Cal Fire’s final counts. When wildfire reaches a structure, the loss is nearly always total — there is no “roof claim” version of a conflagration.</w:t>
      </w:r>
    </w:p>
    <w:p>
      <w:pPr>
        <w:spacing w:after="160"/>
      </w:pPr>
      <w:r>
        <w:t xml:space="preserve">Spread across the genuinely exposed housing stock — coastal hurricane counties and the wildland-urban interface, where roughly one in three Californians lives — these events annualize to a total-destruction probability in the neighborhood of </w:t>
      </w:r>
      <w:r>
        <w:rPr>
          <w:b/>
          <w:bCs/>
        </w:rPr>
        <w:t xml:space="preserve">1-in-650 to 1-in-900 per year</w:t>
      </w:r>
      <w:r>
        <w:t xml:space="preserve"> for an exposed home, with the most extreme locations (barrier islands, very-high fire-hazard zones) plausibly reaching 1-in-300 to 1-in-700. We set the preset at </w:t>
      </w:r>
      <w:r>
        <w:rPr>
          <w:b/>
          <w:bCs/>
        </w:rPr>
        <w:t xml:space="preserve">0.18% per year — 1-in-555 — deliberately above the center of that range,</w:t>
      </w:r>
      <w:r>
        <w:t xml:space="preserve"> for the same reasons we loaded the Standard preset conservatively: the wildfire trend is rising, recent seasons keep setting structure-loss records, and a planning tool should err toward respecting catastrophic risk. We label it as a conservative loading, not a historical average. For perspective, that’s 2.25 times our Standard preset’s 1-in-1,250 — a large difference, but an honest one; the raw data does not support the much scarier multiples sometimes implied by headlines.</w:t>
      </w:r>
    </w:p>
    <w:p>
      <w:pPr>
        <w:pStyle w:val="Heading1"/>
      </w:pPr>
      <w:r>
        <w:t xml:space="preserve">The Cross-Check: Premiums and the 60% Loss Ratio</w:t>
      </w:r>
    </w:p>
    <w:p>
      <w:pPr>
        <w:spacing w:after="160"/>
      </w:pPr>
      <w:r>
        <w:t xml:space="preserve">As with the Standard preset, we sanity-checked the expected loss against what insurance actually costs — but the catastrophe markets need one extra piece of context. In these states, a large share of your premium never touches ordinary claims at all: it pays for reinsurance, the insurance that insurers buy against catastrophe years. Industry analysts estimate reinsurance can account for up to about 40% of a Florida premium. That means premiums in these markets sit further above expected losses than the national norm — not because insurers are gouging, but because the cost of carrying tail risk is itself expensive.</w:t>
      </w:r>
    </w:p>
    <w:p>
      <w:pPr>
        <w:spacing w:after="160"/>
      </w:pPr>
      <w:r>
        <w:t xml:space="preserve">Our preset reflects that: the expected loss of $6,499 against the default premium of $10,750 implies a </w:t>
      </w:r>
      <w:r>
        <w:rPr>
          <w:b/>
          <w:bCs/>
        </w:rPr>
        <w:t xml:space="preserve">60% loss ratio</w:t>
      </w:r>
      <w:r>
        <w:t xml:space="preserve"> — below the industry’s recent national average of roughly 65–75%, which is exactly where a reinsurance-heavy catastrophe market should sit. In other words, the preset’s expected loss is calibrated so the default premium reflects a realistic catastrophe-market loss ratio of about 60%. One honest implication worth knowing: when premiums carry loads this large, the mathematics of self-insurance becomes more favorable for households wealthy enough to absorb a total loss — which is part of why affluent coastal homeowners dropping coverage has become a national story. Our calculator will show you exactly where that line sits for your numbers.</w:t>
      </w:r>
    </w:p>
    <w:p>
      <w:pPr>
        <w:pStyle w:val="Heading1"/>
      </w:pPr>
      <w:r>
        <w:t xml:space="preserve">What This Means for You</w:t>
      </w:r>
    </w:p>
    <w:p>
      <w:pPr>
        <w:pStyle w:val="ListParagraph"/>
        <w:numPr>
          <w:ilvl w:val="0"/>
          <w:numId w:val="2"/>
        </w:numPr>
        <w:spacing w:after="120"/>
      </w:pPr>
      <w:r>
        <w:rPr>
          <w:b/>
          <w:bCs/>
        </w:rPr>
        <w:t xml:space="preserve">Exposed vs. inland is the first question.</w:t>
      </w:r>
      <w:r>
        <w:t xml:space="preserve"> This preset describes a coastal or wildfire-zone home. If you live in one of these states but inland and away from the wildland edge, start from the Standard preset instead — or split the difference by editing the top rungs.</w:t>
      </w:r>
    </w:p>
    <w:p>
      <w:pPr>
        <w:pStyle w:val="ListParagraph"/>
        <w:numPr>
          <w:ilvl w:val="0"/>
          <w:numId w:val="2"/>
        </w:numPr>
        <w:spacing w:after="120"/>
      </w:pPr>
      <w:r>
        <w:rPr>
          <w:b/>
          <w:bCs/>
        </w:rPr>
        <w:t xml:space="preserve">Flood and storm surge are not in here.</w:t>
      </w:r>
      <w:r>
        <w:t xml:space="preserve"> Standard homeowners policies exclude them, so this preset models wind and fire destruction only. Much of the worst hurricane damage in events like Ian was surge — covered only by separate flood insurance. If you’re coastal, your true total-loss exposure is higher than this preset shows, and the flood policy is a separate decision.</w:t>
      </w:r>
    </w:p>
    <w:p>
      <w:pPr>
        <w:pStyle w:val="ListParagraph"/>
        <w:numPr>
          <w:ilvl w:val="0"/>
          <w:numId w:val="2"/>
        </w:numPr>
        <w:spacing w:after="120"/>
      </w:pPr>
      <w:r>
        <w:rPr>
          <w:b/>
          <w:bCs/>
        </w:rPr>
        <w:t xml:space="preserve">Wind deductibles change the math.</w:t>
      </w:r>
      <w:r>
        <w:t xml:space="preserve"> Coastal policies typically carry percentage-based hurricane/wind deductibles of 2–10% of dwelling value — $12,000 to $60,000 on a $600,000 home — paid before coverage starts. Our loss rungs are gross of deductibles; factor yours into the deductible tab.</w:t>
      </w:r>
    </w:p>
    <w:p>
      <w:pPr>
        <w:pStyle w:val="ListParagraph"/>
        <w:numPr>
          <w:ilvl w:val="0"/>
          <w:numId w:val="2"/>
        </w:numPr>
        <w:spacing w:after="120"/>
      </w:pPr>
      <w:r>
        <w:rPr>
          <w:b/>
          <w:bCs/>
        </w:rPr>
        <w:t xml:space="preserve">Last-resort coverage has caps.</w:t>
      </w:r>
      <w:r>
        <w:t xml:space="preserve"> Citizens, FAIR Plan, and TWIA policies often cap coverage below full replacement cost. If that’s your coverage, the “insured” outcome isn’t as protected as the model assumes — the calculator’s benefit-cap field can model this.</w:t>
      </w:r>
    </w:p>
    <w:p>
      <w:pPr>
        <w:pStyle w:val="ListParagraph"/>
        <w:numPr>
          <w:ilvl w:val="0"/>
          <w:numId w:val="2"/>
        </w:numPr>
        <w:spacing w:after="120"/>
      </w:pPr>
      <w:r>
        <w:rPr>
          <w:b/>
          <w:bCs/>
        </w:rPr>
        <w:t xml:space="preserve">Demand surge is real.</w:t>
      </w:r>
      <w:r>
        <w:t xml:space="preserve"> After a regional catastrophe, rebuilding costs routinely run 10–30% above normal — one more reason we lean conservative on the loss rungs.</w:t>
      </w:r>
    </w:p>
    <w:p>
      <w:pPr>
        <w:spacing w:after="160"/>
      </w:pPr>
      <w:r>
        <w:t xml:space="preserve">And the same robustness note as always: we tested the calculator’s findings across the plausible range of these assumptions. Reasonable disagreement about the inputs moves the breakeven modestly; it rarely flips a clear verdict. If you disagree with any number here, change it and watch what happens — that’s what the tool is for.</w:t>
      </w:r>
    </w:p>
    <w:p>
      <w:pPr>
        <w:pStyle w:val="Heading1"/>
      </w:pPr>
      <w:r>
        <w:t xml:space="preserve">Sources</w:t>
      </w:r>
    </w:p>
    <w:p>
      <w:pPr>
        <w:pStyle w:val="ListParagraph"/>
        <w:numPr>
          <w:ilvl w:val="0"/>
          <w:numId w:val="2"/>
        </w:numPr>
        <w:spacing w:after="120"/>
      </w:pPr>
      <w:r>
        <w:rPr>
          <w:b/>
          <w:bCs/>
        </w:rPr>
        <w:t xml:space="preserve">U.S. Senate Budget Committee</w:t>
      </w:r>
      <w:r>
        <w:t xml:space="preserve"> — </w:t>
      </w:r>
      <w:hyperlink w:history="1" r:id="rIdnl3qaprykoppvikyul15u">
        <w:r>
          <w:rPr>
            <w:rStyle w:val="Hyperlink"/>
          </w:rPr>
          <w:t xml:space="preserve">Next to Fall: The Climate-Driven Insurance Crisis Is Here (Dec 2024)</w:t>
        </w:r>
      </w:hyperlink>
      <w:r>
        <w:t xml:space="preserve"> — county-level non-renewal data identifying the most destabilized insurance markets.</w:t>
      </w:r>
    </w:p>
    <w:p>
      <w:pPr>
        <w:pStyle w:val="ListParagraph"/>
        <w:numPr>
          <w:ilvl w:val="0"/>
          <w:numId w:val="2"/>
        </w:numPr>
        <w:spacing w:after="120"/>
      </w:pPr>
      <w:r>
        <w:rPr>
          <w:b/>
          <w:bCs/>
        </w:rPr>
        <w:t xml:space="preserve">Insurance Information Institute (III)</w:t>
      </w:r>
      <w:r>
        <w:t xml:space="preserve"> — </w:t>
      </w:r>
      <w:hyperlink w:history="1" r:id="rId74nfmpek0msbrt6a0qqo4">
        <w:r>
          <w:rPr>
            <w:rStyle w:val="Hyperlink"/>
          </w:rPr>
          <w:t xml:space="preserve">Facts + Statistics: Homeowners and renters insurance</w:t>
        </w:r>
      </w:hyperlink>
      <w:r>
        <w:t xml:space="preserve"> — national claim frequency and severity baselines, and Florida market analyses.</w:t>
      </w:r>
    </w:p>
    <w:p>
      <w:pPr>
        <w:pStyle w:val="ListParagraph"/>
        <w:numPr>
          <w:ilvl w:val="0"/>
          <w:numId w:val="2"/>
        </w:numPr>
        <w:spacing w:after="120"/>
      </w:pPr>
      <w:r>
        <w:rPr>
          <w:b/>
          <w:bCs/>
        </w:rPr>
        <w:t xml:space="preserve">Florida Office of Insurance Regulation &amp; Citizens Property Insurance</w:t>
      </w:r>
      <w:r>
        <w:t xml:space="preserve"> — </w:t>
      </w:r>
      <w:hyperlink w:history="1" r:id="rId0h2am9pxeg8-pi2f9kcxc">
        <w:r>
          <w:rPr>
            <w:rStyle w:val="Hyperlink"/>
          </w:rPr>
          <w:t xml:space="preserve">floir.com</w:t>
        </w:r>
      </w:hyperlink>
      <w:r>
        <w:t xml:space="preserve"> — hurricane catastrophe claims reporting, insurer insolvency record, and Citizens policy counts.</w:t>
      </w:r>
    </w:p>
    <w:p>
      <w:pPr>
        <w:pStyle w:val="ListParagraph"/>
        <w:numPr>
          <w:ilvl w:val="0"/>
          <w:numId w:val="2"/>
        </w:numPr>
        <w:spacing w:after="120"/>
      </w:pPr>
      <w:r>
        <w:rPr>
          <w:b/>
          <w:bCs/>
        </w:rPr>
        <w:t xml:space="preserve">Cal Fire</w:t>
      </w:r>
      <w:r>
        <w:t xml:space="preserve"> — </w:t>
      </w:r>
      <w:hyperlink w:history="1" r:id="rId_xyf8jo6nhwcyydlbjaar">
        <w:r>
          <w:rPr>
            <w:rStyle w:val="Hyperlink"/>
          </w:rPr>
          <w:t xml:space="preserve">Statistics and incident reports</w:t>
        </w:r>
      </w:hyperlink>
      <w:r>
        <w:t xml:space="preserve"> — wildfire structure-destruction counts, including the Camp Fire and the January 2025 Palisades and Eaton fires.</w:t>
      </w:r>
    </w:p>
    <w:p>
      <w:pPr>
        <w:pStyle w:val="ListParagraph"/>
        <w:numPr>
          <w:ilvl w:val="0"/>
          <w:numId w:val="2"/>
        </w:numPr>
        <w:spacing w:after="120"/>
      </w:pPr>
      <w:r>
        <w:rPr>
          <w:b/>
          <w:bCs/>
        </w:rPr>
        <w:t xml:space="preserve">California FAIR Plan</w:t>
      </w:r>
      <w:r>
        <w:t xml:space="preserve"> — </w:t>
      </w:r>
      <w:hyperlink w:history="1" r:id="rIdmplpdq2wdzqidbhflajpa">
        <w:r>
          <w:rPr>
            <w:rStyle w:val="Hyperlink"/>
          </w:rPr>
          <w:t xml:space="preserve">cfpnet.com</w:t>
        </w:r>
      </w:hyperlink>
      <w:r>
        <w:t xml:space="preserve"> — policy counts and exposure growth in the wildfire-driven residual market.</w:t>
      </w:r>
    </w:p>
    <w:p>
      <w:pPr>
        <w:pStyle w:val="ListParagraph"/>
        <w:numPr>
          <w:ilvl w:val="0"/>
          <w:numId w:val="2"/>
        </w:numPr>
        <w:spacing w:after="120"/>
      </w:pPr>
      <w:r>
        <w:rPr>
          <w:b/>
          <w:bCs/>
        </w:rPr>
        <w:t xml:space="preserve">Texas Windstorm Insurance Association (TWIA)</w:t>
      </w:r>
      <w:r>
        <w:t xml:space="preserve"> — </w:t>
      </w:r>
      <w:hyperlink w:history="1" r:id="rId-zko6swtvu_uczj1ktuxp">
        <w:r>
          <w:rPr>
            <w:rStyle w:val="Hyperlink"/>
          </w:rPr>
          <w:t xml:space="preserve">twia.org</w:t>
        </w:r>
      </w:hyperlink>
      <w:r>
        <w:t xml:space="preserve"> — coastal windstorm residual-market enrollment and exposure.</w:t>
      </w:r>
    </w:p>
    <w:p>
      <w:pPr>
        <w:pStyle w:val="ListParagraph"/>
        <w:numPr>
          <w:ilvl w:val="0"/>
          <w:numId w:val="2"/>
        </w:numPr>
        <w:spacing w:after="120"/>
      </w:pPr>
      <w:r>
        <w:rPr>
          <w:b/>
          <w:bCs/>
        </w:rPr>
        <w:t xml:space="preserve">FEMA National Risk Index</w:t>
      </w:r>
      <w:r>
        <w:t xml:space="preserve"> — </w:t>
      </w:r>
      <w:hyperlink w:history="1" r:id="rId-7rhevggp2nw4fhagkoog">
        <w:r>
          <w:rPr>
            <w:rStyle w:val="Hyperlink"/>
          </w:rPr>
          <w:t xml:space="preserve">hazards.fema.gov/nri</w:t>
        </w:r>
      </w:hyperlink>
      <w:r>
        <w:t xml:space="preserve"> — expected annual loss by hazard and county, the basis for the state risk rankings discussed here.</w:t>
      </w:r>
    </w:p>
    <w:p>
      <w:pPr>
        <w:pStyle w:val="ListParagraph"/>
        <w:numPr>
          <w:ilvl w:val="0"/>
          <w:numId w:val="2"/>
        </w:numPr>
        <w:spacing w:after="120"/>
      </w:pPr>
      <w:r>
        <w:rPr>
          <w:b/>
          <w:bCs/>
        </w:rPr>
        <w:t xml:space="preserve">NOAA / National Weather Service</w:t>
      </w:r>
      <w:r>
        <w:t xml:space="preserve"> — </w:t>
      </w:r>
      <w:hyperlink w:history="1" r:id="rId0f4st1ioymzktakgfgxhk">
        <w:r>
          <w:rPr>
            <w:rStyle w:val="Hyperlink"/>
          </w:rPr>
          <w:t xml:space="preserve">Storm damage assessments</w:t>
        </w:r>
      </w:hyperlink>
      <w:r>
        <w:t xml:space="preserve"> — hurricane and tornado damage statistics, including EF-scale frequency data.</w:t>
      </w:r>
    </w:p>
    <w:p>
      <w:pPr>
        <w:spacing w:before="120"/>
      </w:pPr>
      <w:r>
        <w:rPr>
          <w:i/>
          <w:iCs/>
        </w:rPr>
        <w:t xml:space="preserve">Every probability and loss amount in the calculator is editable. If your home, your coastline, or your reading of the data differs from ours, change the inputs — the math will follow.</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Calibri" w:cs="Calibri" w:eastAsia="Calibri" w:hAnsi="Calibri"/>
      <w:b/>
      <w:bCs/>
      <w:color w:val="1F3864"/>
      <w:sz w:val="30"/>
      <w:szCs w:val="30"/>
    </w:rPr>
  </w:style>
</w:styles>
</file>

<file path=word/_rels/comments.xml.rels><?xml version="1.0" encoding="UTF-8"?><Relationships xmlns="http://schemas.openxmlformats.org/package/2006/relationships"/>
</file>

<file path=word/_rels/document.xml.rels><?xml version="1.0" encoding="UTF-8" standalone="yes"?>
<Relationships xmlns="http://schemas.openxmlformats.org/package/2006/relationships"><Relationship Id="rId18" Type="http://schemas.openxmlformats.org/officeDocument/2006/relationships/customXml" Target="../customXml/item3.xml"/><Relationship Id="rId3" Type="http://schemas.openxmlformats.org/officeDocument/2006/relationships/footnotes" Target="footnotes.xml"/><Relationship Id="rId-zko6swtvu_uczj1ktuxp" Type="http://schemas.openxmlformats.org/officeDocument/2006/relationships/hyperlink" Target="https://www.twia.org/" TargetMode="External"/><Relationship Id="rId17" Type="http://schemas.openxmlformats.org/officeDocument/2006/relationships/customXml" Target="../customXml/item2.xml"/><Relationship Id="rId2" Type="http://schemas.openxmlformats.org/officeDocument/2006/relationships/numbering" Target="numbering.xml"/><Relationship Id="rId74nfmpek0msbrt6a0qqo4" Type="http://schemas.openxmlformats.org/officeDocument/2006/relationships/hyperlink" Target="https://www.iii.org/fact-statistic/facts-statistics-homeowners-and-renters-insurance" TargetMode="External"/><Relationship Id="rId0h2am9pxeg8-pi2f9kcxc" Type="http://schemas.openxmlformats.org/officeDocument/2006/relationships/hyperlink" Target="https://www.floir.com/" TargetMode="Externa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comments" Target="comments.xml"/><Relationship Id="rIdmplpdq2wdzqidbhflajpa" Type="http://schemas.openxmlformats.org/officeDocument/2006/relationships/hyperlink" Target="https://www.cfpnet.com/" TargetMode="External"/><Relationship Id="rId0f4st1ioymzktakgfgxhk" Type="http://schemas.openxmlformats.org/officeDocument/2006/relationships/hyperlink" Target="https://www.weather.gov/" TargetMode="External"/><Relationship Id="rId5" Type="http://schemas.openxmlformats.org/officeDocument/2006/relationships/settings" Target="settings.xml"/><Relationship Id="rIdnl3qaprykoppvikyul15u" Type="http://schemas.openxmlformats.org/officeDocument/2006/relationships/hyperlink" Target="https://www.budget.senate.gov/chairman/newsroom/press/next-to-fall-the-climate-driven-insurance-crisis-is-here--and-getting-worse" TargetMode="External"/><Relationship Id="rId15" Type="http://schemas.openxmlformats.org/officeDocument/2006/relationships/fontTable" Target="fontTable.xml"/><Relationship Id="rId_xyf8jo6nhwcyydlbjaar" Type="http://schemas.openxmlformats.org/officeDocument/2006/relationships/hyperlink" Target="https://www.fire.ca.gov/our-impact/statistics" TargetMode="External"/><Relationship Id="rId-7rhevggp2nw4fhagkoog" Type="http://schemas.openxmlformats.org/officeDocument/2006/relationships/hyperlink" Target="https://hazards.fema.gov/nri/" TargetMode="External"/><Relationship Id="rId4" Type="http://schemas.openxmlformats.org/officeDocument/2006/relationships/endnotes" Target="endnotes.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0DA9A717A90D4EAF153DABF914A360" ma:contentTypeVersion="30" ma:contentTypeDescription="Create a new document." ma:contentTypeScope="" ma:versionID="118bbace4330ca90eae51b3835ca2663">
  <xsd:schema xmlns:xsd="http://www.w3.org/2001/XMLSchema" xmlns:xs="http://www.w3.org/2001/XMLSchema" xmlns:p="http://schemas.microsoft.com/office/2006/metadata/properties" xmlns:ns1="http://schemas.microsoft.com/sharepoint/v3" xmlns:ns2="17916287-2689-4bda-a7ea-248f56faa6a1" xmlns:ns3="93eb43d4-a9d6-42db-81e1-9fae3c7b6d2a" targetNamespace="http://schemas.microsoft.com/office/2006/metadata/properties" ma:root="true" ma:fieldsID="6d6965cd2c7fcbf31b99fd2a31ba032c" ns1:_="" ns2:_="" ns3:_="">
    <xsd:import namespace="http://schemas.microsoft.com/sharepoint/v3"/>
    <xsd:import namespace="17916287-2689-4bda-a7ea-248f56faa6a1"/>
    <xsd:import namespace="93eb43d4-a9d6-42db-81e1-9fae3c7b6d2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ataEntry" minOccurs="0"/>
                <xsd:element ref="ns2:PlanningType" minOccurs="0"/>
                <xsd:element ref="ns2:Subtype" minOccurs="0"/>
                <xsd:element ref="ns2:Quality" minOccurs="0"/>
                <xsd:element ref="ns2:Organization" minOccurs="0"/>
                <xsd:element ref="ns2:ValueMessaging" minOccurs="0"/>
                <xsd:element ref="ns2:Fit_x002f_Tone" minOccurs="0"/>
                <xsd:element ref="ns2:VisualAppeal" minOccurs="0"/>
                <xsd:element ref="ns2:Action" minOccurs="0"/>
                <xsd:element ref="ns2:Sco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916287-2689-4bda-a7ea-248f56faa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1a2ce62-e693-4979-a7ad-c173e0eb97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ataEntry" ma:index="28" nillable="true" ma:displayName="Data Entry" ma:description="Entered" ma:format="Dropdown" ma:internalName="DataEntry">
      <xsd:simpleType>
        <xsd:restriction base="dms:Choice">
          <xsd:enumeration value="Input"/>
          <xsd:enumeration value="Not"/>
          <xsd:enumeration value="Duplicate--not input"/>
        </xsd:restriction>
      </xsd:simpleType>
    </xsd:element>
    <xsd:element name="PlanningType" ma:index="29" nillable="true" ma:displayName="Notes" ma:default="sjs" ma:description="shhd" ma:format="Dropdown" ma:internalName="PlanningType">
      <xsd:simpleType>
        <xsd:restriction base="dms:Note">
          <xsd:maxLength value="255"/>
        </xsd:restriction>
      </xsd:simpleType>
    </xsd:element>
    <xsd:element name="Subtype" ma:index="30" nillable="true" ma:displayName="Subtype" ma:format="Dropdown" ma:internalName="Subtype">
      <xsd:simpleType>
        <xsd:restriction base="dms:Text">
          <xsd:maxLength value="255"/>
        </xsd:restriction>
      </xsd:simpleType>
    </xsd:element>
    <xsd:element name="Quality" ma:index="31" nillable="true" ma:displayName="Clarity/Simplicity" ma:description="1 = Jargon-heavy or confusing; 3 = Generally clear; 5 = Crystal clear and accessible " ma:format="Dropdown" ma:internalName="Quality">
      <xsd:simpleType>
        <xsd:restriction base="dms:Text">
          <xsd:maxLength value="255"/>
        </xsd:restriction>
      </xsd:simpleType>
    </xsd:element>
    <xsd:element name="Organization" ma:index="32" nillable="true" ma:displayName="Organization" ma:description="1 = Disorganized or scattered; 3 = Acceptable flow; 5 = Logical and smooth " ma:format="Dropdown" ma:internalName="Organization" ma:percentage="FALSE">
      <xsd:simpleType>
        <xsd:restriction base="dms:Number">
          <xsd:maxInclusive value="5"/>
          <xsd:minInclusive value="1"/>
        </xsd:restriction>
      </xsd:simpleType>
    </xsd:element>
    <xsd:element name="ValueMessaging" ma:index="33" nillable="true" ma:displayName="Value Messaging" ma:description="1 = Missing or vague; 3 = Mentioned; 5 = Strong, persuasive, client-focused message " ma:format="Dropdown" ma:internalName="ValueMessaging" ma:percentage="FALSE">
      <xsd:simpleType>
        <xsd:restriction base="dms:Number">
          <xsd:maxInclusive value="5"/>
          <xsd:minInclusive value="1"/>
        </xsd:restriction>
      </xsd:simpleType>
    </xsd:element>
    <xsd:element name="Fit_x002f_Tone" ma:index="34" nillable="true" ma:displayName="Duplicate" ma:description="If duplicate-- or near duplicate&#10;There are two in a pair--label first: 1, second: 2" ma:format="Dropdown" ma:internalName="Fit_x002f_Tone" ma:percentage="FALSE">
      <xsd:simpleType>
        <xsd:restriction base="dms:Number">
          <xsd:maxInclusive value="2"/>
          <xsd:minInclusive value="1"/>
        </xsd:restriction>
      </xsd:simpleType>
    </xsd:element>
    <xsd:element name="VisualAppeal" ma:index="35" nillable="true" ma:displayName="Visual Appeal" ma:description="1 = Dated/sloppy; 3 = Adequate; 5 = Polished and visually appealing " ma:format="Dropdown" ma:internalName="VisualAppeal" ma:percentage="FALSE">
      <xsd:simpleType>
        <xsd:restriction base="dms:Number">
          <xsd:maxInclusive value="5"/>
          <xsd:minInclusive value="1"/>
        </xsd:restriction>
      </xsd:simpleType>
    </xsd:element>
    <xsd:element name="Action" ma:index="36" nillable="true" ma:displayName="Action" ma:format="Dropdown" ma:internalName="Action">
      <xsd:simpleType>
        <xsd:restriction base="dms:Text">
          <xsd:maxLength value="255"/>
        </xsd:restriction>
      </xsd:simpleType>
    </xsd:element>
    <xsd:element name="Score" ma:index="37" nillable="true" ma:displayName="Score" ma:description="Total Rubric Score--Higher is better" ma:format="Dropdown" ma:internalName="Scor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eb43d4-a9d6-42db-81e1-9fae3c7b6d2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02a8dbc-ccfc-44b0-bfc9-12c007e43513}" ma:internalName="TaxCatchAll" ma:showField="CatchAllData" ma:web="93eb43d4-a9d6-42db-81e1-9fae3c7b6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ty xmlns="17916287-2689-4bda-a7ea-248f56faa6a1" xsi:nil="true"/>
    <VisualAppeal xmlns="17916287-2689-4bda-a7ea-248f56faa6a1" xsi:nil="true"/>
    <_ip_UnifiedCompliancePolicyUIAction xmlns="http://schemas.microsoft.com/sharepoint/v3" xsi:nil="true"/>
    <Score xmlns="17916287-2689-4bda-a7ea-248f56faa6a1" xsi:nil="true"/>
    <DataEntry xmlns="17916287-2689-4bda-a7ea-248f56faa6a1" xsi:nil="true"/>
    <PlanningType xmlns="17916287-2689-4bda-a7ea-248f56faa6a1">sjs</PlanningType>
    <_ip_UnifiedCompliancePolicyProperties xmlns="http://schemas.microsoft.com/sharepoint/v3" xsi:nil="true"/>
    <Fit_x002f_Tone xmlns="17916287-2689-4bda-a7ea-248f56faa6a1" xsi:nil="true"/>
    <ValueMessaging xmlns="17916287-2689-4bda-a7ea-248f56faa6a1" xsi:nil="true"/>
    <TaxCatchAll xmlns="93eb43d4-a9d6-42db-81e1-9fae3c7b6d2a" xsi:nil="true"/>
    <Action xmlns="17916287-2689-4bda-a7ea-248f56faa6a1" xsi:nil="true"/>
    <Organization xmlns="17916287-2689-4bda-a7ea-248f56faa6a1" xsi:nil="true"/>
    <Subtype xmlns="17916287-2689-4bda-a7ea-248f56faa6a1" xsi:nil="true"/>
    <lcf76f155ced4ddcb4097134ff3c332f xmlns="17916287-2689-4bda-a7ea-248f56faa6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32ED2F-07E2-41D8-86F3-3AF6ABDD66F6}"/>
</file>

<file path=customXml/itemProps2.xml><?xml version="1.0" encoding="utf-8"?>
<ds:datastoreItem xmlns:ds="http://schemas.openxmlformats.org/officeDocument/2006/customXml" ds:itemID="{F9607A87-C4C1-4D7D-9A3C-FEAB79C9C6A2}"/>
</file>

<file path=customXml/itemProps3.xml><?xml version="1.0" encoding="utf-8"?>
<ds:datastoreItem xmlns:ds="http://schemas.openxmlformats.org/officeDocument/2006/customXml" ds:itemID="{D886D99B-6858-4D9E-A2F0-44C7946EE10F}"/>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2026-06-10T21:07:32Z</dcterms:created>
  <dcterms:modified xsi:type="dcterms:W3CDTF">2026-06-10T21:07:32Z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0x010100350DA9A717A90D4EAF153DABF914A360</vt:lpwstr>
  </property>
</Properties>
</file>