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36"/>
          <w:szCs w:val="36"/>
        </w:rPr>
        <w:t xml:space="preserve">Where the Numbers Come From</w:t>
      </w:r>
    </w:p>
    <w:p>
      <w:pPr>
        <w:spacing w:after="160"/>
      </w:pPr>
      <w:r>
        <w:rPr>
          <w:i/>
          <w:iCs/>
        </w:rPr>
        <w:t xml:space="preserve">How we calibrated the “Homeowners (Standard)” claim probabilities in our Insurance Analysis Calculator — the sources, the math, and the judgment calls.</w:t>
      </w:r>
    </w:p>
    <w:p>
      <w:pPr>
        <w:spacing w:after="160"/>
      </w:pPr>
      <w:r>
        <w:t xml:space="preserve">Our calculator’s homeowners preset has to answer questions nobody publishes a single statistic for: How likely is your home to have an insurance claim this year? How big is a typical claim? And the question everyone secretly wants answered — how likely is it that your home is a </w:t>
      </w:r>
      <w:r>
        <w:rPr>
          <w:i/>
          <w:iCs/>
        </w:rPr>
        <w:t xml:space="preserve">total loss</w:t>
      </w:r>
      <w:r>
        <w:t xml:space="preserve"> this year? This page documents exactly how we built our default answers, so you can judge them, challenge them, and adjust them to your own situation. Every number in the calculator is editable; this page explains where the starting points come from.</w:t>
      </w:r>
    </w:p>
    <w:p>
      <w:pPr>
        <w:pStyle w:val="Heading1"/>
      </w:pPr>
      <w:r>
        <w:t xml:space="preserve">The Distribution We Use</w:t>
      </w:r>
    </w:p>
    <w:p>
      <w:pPr>
        <w:spacing w:after="160"/>
      </w:pPr>
      <w:r>
        <w:t xml:space="preserve">The Standard preset models a national-average U.S. home across all the perils a standard homeowners (HO-3) policy covers — wind, hail, water damage, fire, theft, and liability. Losses are expressed as a percentage of your home’s value (we treat home value and replacement cost as equal for simplicity), so the dollar amounts below scale automatically when you enter your own home value. Shown here for a $400,000 home: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500"/>
        <w:gridCol w:w="1680"/>
        <w:gridCol w:w="1680"/>
        <w:gridCol w:w="1800"/>
      </w:tblGrid>
      <w:tr>
        <w:tc>
          <w:tcPr>
            <w:tcW w:type="dxa" w:w="27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Outcome</w:t>
            </w:r>
          </w:p>
        </w:tc>
        <w:tc>
          <w:tcPr>
            <w:tcW w:type="dxa" w:w="15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Annual Probability</w:t>
            </w:r>
          </w:p>
        </w:tc>
        <w:tc>
          <w:tcPr>
            <w:tcW w:type="dxa" w:w="168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Loss (% of value)</w:t>
            </w:r>
          </w:p>
        </w:tc>
        <w:tc>
          <w:tcPr>
            <w:tcW w:type="dxa" w:w="168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Loss on $400K home</w:t>
            </w:r>
          </w:p>
        </w:tc>
        <w:tc>
          <w:tcPr>
            <w:tcW w:type="dxa" w:w="18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What it represents</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No claim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94.39%</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Most years, nothing happens</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Minor</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1.00%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1.15%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$4,600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Theft, small miscellaneous</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Moderate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3.30%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4.25%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$17,000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Typical wind/hail and water claims</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Significant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0.85%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$40,000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Serious water damage, partial fire</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Severe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0.25%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27.5%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$110,000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Major partial fire, major wind</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Near-total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0.13%</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72.5%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$290,000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Severe fire spread, heavy catastrophe damage</w:t>
            </w:r>
          </w:p>
        </w:tc>
      </w:tr>
      <w:tr>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Total destruction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0.08%</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100%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$400,000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Total-loss fire, wildfire, tornado</w:t>
            </w:r>
          </w:p>
        </w:tc>
      </w:tr>
    </w:tbl>
    <w:p>
      <w:pPr>
        <w:spacing w:after="160" w:before="160"/>
      </w:pPr>
      <w:r>
        <w:t xml:space="preserve">Adding it up: a </w:t>
      </w:r>
      <w:r>
        <w:rPr>
          <w:b/>
          <w:bCs/>
        </w:rPr>
        <w:t xml:space="preserve">5.61% chance of having any claim</w:t>
      </w:r>
      <w:r>
        <w:t xml:space="preserve"> in a given year (about 1 in 18 homes), and an expected annual loss of </w:t>
      </w:r>
      <w:r>
        <w:rPr>
          <w:b/>
          <w:bCs/>
        </w:rPr>
        <w:t xml:space="preserve">$1,919 — 0.48% of home value.</w:t>
      </w:r>
      <w:r>
        <w:t xml:space="preserve"> Those two summary numbers are the anchors everything below justifies.</w:t>
      </w:r>
    </w:p>
    <w:p>
      <w:pPr>
        <w:pStyle w:val="Heading1"/>
      </w:pPr>
      <w:r>
        <w:t xml:space="preserve">How Often Do Homes Actually Have Claims?</w:t>
      </w:r>
    </w:p>
    <w:p>
      <w:pPr>
        <w:spacing w:after="160"/>
      </w:pPr>
      <w:r>
        <w:t xml:space="preserve">This is the best-documented number in the whole exercise. The Insurance Information Institute, drawing on ISO (Verisk) claims data covering most of the U.S. homeowners market, reports that roughly </w:t>
      </w:r>
      <w:r>
        <w:rPr>
          <w:b/>
          <w:bCs/>
        </w:rPr>
        <w:t xml:space="preserve">1 in 18 insured homes files a claim each year</w:t>
      </w:r>
      <w:r>
        <w:t xml:space="preserve"> — a frequency that has ranged between about 5.3% and 6.4% in recent years. Our preset’s 5.61% sits squarely inside that range.</w:t>
      </w:r>
    </w:p>
    <w:p>
      <w:pPr>
        <w:spacing w:after="160"/>
      </w:pPr>
      <w:r>
        <w:t xml:space="preserve">The composition matters as much as the total. Wind and hail are by far the most frequent claims (roughly 1 in 36 homes per year), followed by water damage and freezing (about 1 in 67). Fire — the peril everyone fears most — is actually the rarest of the major perils, at roughly 1 in 430 homes per year. That’s why our distribution puts most of its probability in the moderate, mid-sized rungs: that’s where real claims live.</w:t>
      </w:r>
    </w:p>
    <w:p>
      <w:pPr>
        <w:pStyle w:val="Heading1"/>
      </w:pPr>
      <w:r>
        <w:t xml:space="preserve">How Big Is a Typical Claim?</w:t>
      </w:r>
    </w:p>
    <w:p>
      <w:pPr>
        <w:spacing w:after="160"/>
      </w:pPr>
      <w:r>
        <w:t xml:space="preserve">Claim sizes are wildly skewed. Per III data, the average wind/hail claim runs around $15,000, the average water-damage claim about the same, and the average theft claim around $5,500. But the average </w:t>
      </w:r>
      <w:r>
        <w:rPr>
          <w:i/>
          <w:iCs/>
        </w:rPr>
        <w:t xml:space="preserve">fire</w:t>
      </w:r>
      <w:r>
        <w:t xml:space="preserve"> claim is roughly $88,000 — not because every fire is catastrophic, but because the rare total losses pull the average up dramatically. Industry data on total-loss claims (Verisk’s 360Value analysis) puts the average total-loss payout near a quarter of a million dollars.</w:t>
      </w:r>
    </w:p>
    <w:p>
      <w:pPr>
        <w:spacing w:after="160"/>
      </w:pPr>
      <w:r>
        <w:t xml:space="preserve">Our rungs mirror that structure: a big bucket of ~$17,000 claims representing the wind/hail/water bulk, thinner buckets at $40,000 and $110,000 representing serious water damage and major partial fires, and very thin slices at the top representing the fires and catastrophes that destroy most or all of a home. One honest note: our claim sizes run modestly above the raw published averages, deliberately. Published industry tables exclude claim-adjustment expenses, exclude some catastrophe-heavy states (including Texas), and don’t reflect the “demand surge” that inflates rebuilding costs after regional disasters. We loaded our severities to account for all three.</w:t>
      </w:r>
    </w:p>
    <w:p>
      <w:pPr>
        <w:pStyle w:val="Heading1"/>
      </w:pPr>
      <w:r>
        <w:t xml:space="preserve">The Big One: How Often Is a Home a Total Loss?</w:t>
      </w:r>
    </w:p>
    <w:p>
      <w:pPr>
        <w:spacing w:after="160"/>
      </w:pPr>
      <w:r>
        <w:t xml:space="preserve">Nobody publishes this number directly, so we built it from parts:</w:t>
      </w:r>
    </w:p>
    <w:p>
      <w:pPr>
        <w:pStyle w:val="ListParagraph"/>
        <w:numPr>
          <w:ilvl w:val="0"/>
          <w:numId w:val="2"/>
        </w:numPr>
        <w:spacing w:after="120"/>
      </w:pPr>
      <w:r>
        <w:rPr>
          <w:b/>
          <w:bCs/>
        </w:rPr>
        <w:t xml:space="preserve">Fire.</w:t>
      </w:r>
      <w:r>
        <w:t xml:space="preserve"> The NFPA counts roughly 350,000 residential structure fires per year against about 145 million U.S. housing units — about a 1-in-400 chance of any fire. But most fires are partial: the average residential fire causes around $33,000 in damage, and federal fire-incident data show only about a third of house fires spread beyond the room where they started. Comparing average fire claims against average total-loss payouts suggests roughly 15–20% of home fires reach total or near-total loss — on the order of 50,000–70,000 homes per year.</w:t>
      </w:r>
    </w:p>
    <w:p>
      <w:pPr>
        <w:pStyle w:val="ListParagraph"/>
        <w:numPr>
          <w:ilvl w:val="0"/>
          <w:numId w:val="2"/>
        </w:numPr>
        <w:spacing w:after="120"/>
      </w:pPr>
      <w:r>
        <w:rPr>
          <w:b/>
          <w:bCs/>
        </w:rPr>
        <w:t xml:space="preserve">Wildfire.</w:t>
      </w:r>
      <w:r>
        <w:t xml:space="preserve"> Unlike ordinary house fires, wildfires destroy structures almost completely when they reach them. Recent multi-year averages exceed 8,000 structures destroyed per year, and the trend is sharply upward — the January 2025 Los Angeles fires alone destroyed more than 16,000 structures.</w:t>
      </w:r>
    </w:p>
    <w:p>
      <w:pPr>
        <w:pStyle w:val="ListParagraph"/>
        <w:numPr>
          <w:ilvl w:val="0"/>
          <w:numId w:val="2"/>
        </w:numPr>
        <w:spacing w:after="120"/>
      </w:pPr>
      <w:r>
        <w:rPr>
          <w:b/>
          <w:bCs/>
        </w:rPr>
        <w:t xml:space="preserve">Tornadoes and hurricanes.</w:t>
      </w:r>
      <w:r>
        <w:t xml:space="preserve"> Roughly 1,250 tornadoes touch down in the U.S. annually, with homes bearing about two-thirds of the structural damage; hurricanes add thousands more destroyed homes in active years.</w:t>
      </w:r>
    </w:p>
    <w:p>
      <w:pPr>
        <w:spacing w:after="160"/>
      </w:pPr>
      <w:r>
        <w:t xml:space="preserve">Blending those sources: roughly 65,000–85,000 U.S. homes are destroyed in a typical year, out of ~145 million — about </w:t>
      </w:r>
      <w:r>
        <w:rPr>
          <w:b/>
          <w:bCs/>
        </w:rPr>
        <w:t xml:space="preserve">1 in 1,700 to 1 in 2,200 homes annually.</w:t>
      </w:r>
      <w:r>
        <w:t xml:space="preserve"> We set our default at </w:t>
      </w:r>
      <w:r>
        <w:rPr>
          <w:b/>
          <w:bCs/>
        </w:rPr>
        <w:t xml:space="preserve">0.08% — 1 in 1,250 — deliberately above that range.</w:t>
      </w:r>
      <w:r>
        <w:t xml:space="preserve"> Why? Three reasons: the wildfire trend is rising rather than stable, the cleanest published claim tables exclude several catastrophe-heavy states, and we would rather our tool err toward respecting catastrophic risk than dismissing it. We consider that a conservative planning assumption, and we label it as one — not as the historical average.</w:t>
      </w:r>
    </w:p>
    <w:p>
      <w:pPr>
        <w:pStyle w:val="Heading1"/>
      </w:pPr>
      <w:r>
        <w:t xml:space="preserve">The Cross-Check: Does It Add Up Against Real Premiums?</w:t>
      </w:r>
    </w:p>
    <w:p>
      <w:pPr>
        <w:spacing w:after="160"/>
      </w:pPr>
      <w:r>
        <w:t xml:space="preserve">There’s a second, completely independent way to sanity-check an expected-loss estimate: work backward from what insurance actually costs. Insurers in this line typically pay out roughly 65–75 cents of every premium dollar in claims over time (the industry’s “loss ratio” — it was about 75% in 2023 and 65% in 2024). Our preset’s expected loss of $1,919 against its default premium of $2,800 implies a 69% loss ratio — right in the middle of that band.</w:t>
      </w:r>
    </w:p>
    <w:p>
      <w:pPr>
        <w:spacing w:after="160"/>
      </w:pPr>
      <w:r>
        <w:t xml:space="preserve">In other words: </w:t>
      </w:r>
      <w:r>
        <w:rPr>
          <w:b/>
          <w:bCs/>
        </w:rPr>
        <w:t xml:space="preserve">the preset’s expected loss is calibrated so the default premium reflects the industry’s typical ~70% loss ratio.</w:t>
      </w:r>
      <w:r>
        <w:t xml:space="preserve"> If our expected loss were much lower, it would imply insurers keep half of every premium dollar, which isn’t how this market has actually performed. If it were much higher, it would imply insurers systematically lose money, which they don’t — at least not for long. The two calibration methods — building up from claim statistics and working back from premiums — land in the same place, which is what gives us confidence in the result.</w:t>
      </w:r>
    </w:p>
    <w:p>
      <w:pPr>
        <w:pStyle w:val="Heading1"/>
      </w:pPr>
      <w:r>
        <w:t xml:space="preserve">What This Means for You</w:t>
      </w:r>
    </w:p>
    <w:p>
      <w:pPr>
        <w:spacing w:after="160"/>
      </w:pPr>
      <w:r>
        <w:t xml:space="preserve">These defaults describe a national-average home, and your home is not average. A few adjustments worth considering when you use the calculator:</w:t>
      </w:r>
    </w:p>
    <w:p>
      <w:pPr>
        <w:pStyle w:val="ListParagraph"/>
        <w:numPr>
          <w:ilvl w:val="0"/>
          <w:numId w:val="2"/>
        </w:numPr>
        <w:spacing w:after="120"/>
      </w:pPr>
      <w:r>
        <w:rPr>
          <w:b/>
          <w:bCs/>
        </w:rPr>
        <w:t xml:space="preserve">Location dominates.</w:t>
      </w:r>
      <w:r>
        <w:t xml:space="preserve"> A home in a wildfire-prone canyon or on a hurricane coast faces a multiple of the average total-loss probability (our separate Florida/High-Risk preset exists for exactly this reason); a brick home in a low-catastrophe suburb faces a fraction of it. Adjust the top rungs accordingly.</w:t>
      </w:r>
    </w:p>
    <w:p>
      <w:pPr>
        <w:pStyle w:val="ListParagraph"/>
        <w:numPr>
          <w:ilvl w:val="0"/>
          <w:numId w:val="2"/>
        </w:numPr>
        <w:spacing w:after="120"/>
      </w:pPr>
      <w:r>
        <w:rPr>
          <w:b/>
          <w:bCs/>
        </w:rPr>
        <w:t xml:space="preserve">Flood is not in here — on purpose.</w:t>
      </w:r>
      <w:r>
        <w:t xml:space="preserve"> Standard homeowners policies exclude flood (and earthquake); those are separate policies with separate math. If your worry is storm surge or river flooding, this distribution does not capture it.</w:t>
      </w:r>
    </w:p>
    <w:p>
      <w:pPr>
        <w:pStyle w:val="ListParagraph"/>
        <w:numPr>
          <w:ilvl w:val="0"/>
          <w:numId w:val="2"/>
        </w:numPr>
        <w:spacing w:after="120"/>
      </w:pPr>
      <w:r>
        <w:rPr>
          <w:b/>
          <w:bCs/>
        </w:rPr>
        <w:t xml:space="preserve">Claims understate incidents.</w:t>
      </w:r>
      <w:r>
        <w:t xml:space="preserve"> These probabilities reflect filed claims. Plenty of small losses are never filed — because of deductibles, or fear of non-renewal — so the chance of your home experiencing some damage is higher than the chance of a claim. For self-insurance analysis, that distinction mostly washes out for small losses but is worth knowing.</w:t>
      </w:r>
    </w:p>
    <w:p>
      <w:pPr>
        <w:pStyle w:val="ListParagraph"/>
        <w:numPr>
          <w:ilvl w:val="0"/>
          <w:numId w:val="2"/>
        </w:numPr>
        <w:spacing w:after="120"/>
      </w:pPr>
      <w:r>
        <w:rPr>
          <w:b/>
          <w:bCs/>
        </w:rPr>
        <w:t xml:space="preserve">Total-loss payouts often disappoint.</w:t>
      </w:r>
      <w:r>
        <w:t xml:space="preserve"> We assume home value equals replacement cost. In reality, an estimated two-thirds of homes are underinsured, and rebuilding costs spike after regional catastrophes. If anything, this makes large losses slightly worse than our model assumes — one more reason we lean conservative.</w:t>
      </w:r>
    </w:p>
    <w:p>
      <w:pPr>
        <w:spacing w:after="160"/>
      </w:pPr>
      <w:r>
        <w:t xml:space="preserve">And a note on how much this all matters: we tested the calculator’s conclusions under both the strict historical-average calibration and our conservative one. The breakeven moved by only a few percent. The framework’s findings are robust to reasonable disagreement about these inputs — which is exactly the property a planning tool should have. If you disagree with any number here, change it in the calculator and watch what happens. That’s what it’s for.</w:t>
      </w:r>
    </w:p>
    <w:p>
      <w:pPr>
        <w:pStyle w:val="Heading1"/>
      </w:pPr>
      <w:r>
        <w:t xml:space="preserve">Sources</w:t>
      </w:r>
    </w:p>
    <w:p>
      <w:pPr>
        <w:pStyle w:val="ListParagraph"/>
        <w:numPr>
          <w:ilvl w:val="0"/>
          <w:numId w:val="2"/>
        </w:numPr>
        <w:spacing w:after="120"/>
      </w:pPr>
      <w:r>
        <w:rPr>
          <w:b/>
          <w:bCs/>
        </w:rPr>
        <w:t xml:space="preserve">Insurance Information Institute (III)</w:t>
      </w:r>
      <w:r>
        <w:t xml:space="preserve"> — </w:t>
      </w:r>
      <w:hyperlink w:history="1" r:id="rIdq3caif0hnerby3zcusqth">
        <w:r>
          <w:rPr>
            <w:rStyle w:val="Hyperlink"/>
          </w:rPr>
          <w:t xml:space="preserve">Facts + Statistics: Homeowners and renters insurance</w:t>
        </w:r>
      </w:hyperlink>
      <w:r>
        <w:t xml:space="preserve"> — claim frequency and average claim severity by peril, from ISO (Verisk) data. The source for the ~1-in-18 annual claim frequency and the peril mix.</w:t>
      </w:r>
    </w:p>
    <w:p>
      <w:pPr>
        <w:pStyle w:val="ListParagraph"/>
        <w:numPr>
          <w:ilvl w:val="0"/>
          <w:numId w:val="2"/>
        </w:numPr>
        <w:spacing w:after="120"/>
      </w:pPr>
      <w:r>
        <w:rPr>
          <w:b/>
          <w:bCs/>
        </w:rPr>
        <w:t xml:space="preserve">Insurance Information Institute (III)</w:t>
      </w:r>
      <w:r>
        <w:t xml:space="preserve"> — </w:t>
      </w:r>
      <w:hyperlink w:history="1" r:id="rId_7jeie1q_l6l-hf1rphlj">
        <w:r>
          <w:rPr>
            <w:rStyle w:val="Hyperlink"/>
          </w:rPr>
          <w:t xml:space="preserve">Facts + Statistics: Fire</w:t>
        </w:r>
      </w:hyperlink>
      <w:r>
        <w:t xml:space="preserve"> — residential fire counts and fire loss data.</w:t>
      </w:r>
    </w:p>
    <w:p>
      <w:pPr>
        <w:pStyle w:val="ListParagraph"/>
        <w:numPr>
          <w:ilvl w:val="0"/>
          <w:numId w:val="2"/>
        </w:numPr>
        <w:spacing w:after="120"/>
      </w:pPr>
      <w:r>
        <w:rPr>
          <w:b/>
          <w:bCs/>
        </w:rPr>
        <w:t xml:space="preserve">National Fire Protection Association (NFPA)</w:t>
      </w:r>
      <w:r>
        <w:t xml:space="preserve"> — </w:t>
      </w:r>
      <w:hyperlink w:history="1" r:id="rId2t7rgjfv5tjldxvz3eufk">
        <w:r>
          <w:rPr>
            <w:rStyle w:val="Hyperlink"/>
          </w:rPr>
          <w:t xml:space="preserve">Fire statistical reports</w:t>
        </w:r>
      </w:hyperlink>
      <w:r>
        <w:t xml:space="preserve"> — annual residential structure fire estimates and property loss totals.</w:t>
      </w:r>
    </w:p>
    <w:p>
      <w:pPr>
        <w:pStyle w:val="ListParagraph"/>
        <w:numPr>
          <w:ilvl w:val="0"/>
          <w:numId w:val="2"/>
        </w:numPr>
        <w:spacing w:after="120"/>
      </w:pPr>
      <w:r>
        <w:rPr>
          <w:b/>
          <w:bCs/>
        </w:rPr>
        <w:t xml:space="preserve">U.S. Fire Administration (USFA / FEMA)</w:t>
      </w:r>
      <w:r>
        <w:t xml:space="preserve"> — </w:t>
      </w:r>
      <w:hyperlink w:history="1" r:id="rIdsbbig8daaymulihbel-pa">
        <w:r>
          <w:rPr>
            <w:rStyle w:val="Hyperlink"/>
          </w:rPr>
          <w:t xml:space="preserve">Residential building fire statistics</w:t>
        </w:r>
      </w:hyperlink>
      <w:r>
        <w:t xml:space="preserve"> — fire-spread data underlying our estimate of what share of home fires become total losses.</w:t>
      </w:r>
    </w:p>
    <w:p>
      <w:pPr>
        <w:pStyle w:val="ListParagraph"/>
        <w:numPr>
          <w:ilvl w:val="0"/>
          <w:numId w:val="2"/>
        </w:numPr>
        <w:spacing w:after="120"/>
      </w:pPr>
      <w:r>
        <w:rPr>
          <w:b/>
          <w:bCs/>
        </w:rPr>
        <w:t xml:space="preserve">Cal Fire</w:t>
      </w:r>
      <w:r>
        <w:t xml:space="preserve"> — </w:t>
      </w:r>
      <w:hyperlink w:history="1" r:id="rIdejfasjq2cppnod20jnjms">
        <w:r>
          <w:rPr>
            <w:rStyle w:val="Hyperlink"/>
          </w:rPr>
          <w:t xml:space="preserve">Statistics and incident data</w:t>
        </w:r>
      </w:hyperlink>
      <w:r>
        <w:t xml:space="preserve"> — wildfire structure-loss counts, including the January 2025 Los Angeles fires.</w:t>
      </w:r>
    </w:p>
    <w:p>
      <w:pPr>
        <w:pStyle w:val="ListParagraph"/>
        <w:numPr>
          <w:ilvl w:val="0"/>
          <w:numId w:val="2"/>
        </w:numPr>
        <w:spacing w:after="120"/>
      </w:pPr>
      <w:r>
        <w:rPr>
          <w:b/>
          <w:bCs/>
        </w:rPr>
        <w:t xml:space="preserve">Federal Reserve Bank of New York, Liberty Street Economics</w:t>
      </w:r>
      <w:r>
        <w:t xml:space="preserve"> — </w:t>
      </w:r>
      <w:hyperlink w:history="1" r:id="rIddbje7zw7qbm-m7qd50xav">
        <w:r>
          <w:rPr>
            <w:rStyle w:val="Hyperlink"/>
          </w:rPr>
          <w:t xml:space="preserve">What Millions of Homeowner's Insurance Contracts Reveal About Risk Sharing</w:t>
        </w:r>
      </w:hyperlink>
      <w:r>
        <w:t xml:space="preserve"> — modeled expected-loss-to-premium ratios across millions of policies; the academic cross-check on our loss-ratio calibration.</w:t>
      </w:r>
    </w:p>
    <w:p>
      <w:pPr>
        <w:pStyle w:val="ListParagraph"/>
        <w:numPr>
          <w:ilvl w:val="0"/>
          <w:numId w:val="2"/>
        </w:numPr>
        <w:spacing w:after="120"/>
      </w:pPr>
      <w:r>
        <w:rPr>
          <w:b/>
          <w:bCs/>
        </w:rPr>
        <w:t xml:space="preserve">NAIC</w:t>
      </w:r>
      <w:r>
        <w:t xml:space="preserve"> — </w:t>
      </w:r>
      <w:hyperlink w:history="1" r:id="rIdpdtxfvu4ldyvvwludif_8">
        <w:r>
          <w:rPr>
            <w:rStyle w:val="Hyperlink"/>
          </w:rPr>
          <w:t xml:space="preserve">Homeowners insurance reports</w:t>
        </w:r>
      </w:hyperlink>
      <w:r>
        <w:t xml:space="preserve"> — average premiums and coverage amounts by state.</w:t>
      </w:r>
    </w:p>
    <w:p>
      <w:pPr>
        <w:spacing w:before="120"/>
      </w:pPr>
      <w:r>
        <w:rPr>
          <w:i/>
          <w:iCs/>
        </w:rPr>
        <w:t xml:space="preserve">Every probability and loss amount in the calculator is editable. If your situation, your region, or your reading of the data differs from ours, change the inputs — the math will follow.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40" w:before="220"/>
      <w:outlineLvl w:val="1"/>
    </w:pPr>
    <w:rPr>
      <w:rFonts w:ascii="Calibri" w:cs="Calibri" w:eastAsia="Calibri" w:hAnsi="Calibri"/>
      <w:b/>
      <w:bCs/>
      <w:color w:val="2E5395"/>
      <w:sz w:val="26"/>
      <w:szCs w:val="26"/>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sbbig8daaymulihbel-pa" Type="http://schemas.openxmlformats.org/officeDocument/2006/relationships/hyperlink" Target="https://www.usfa.fema.gov/statistics/" TargetMode="External"/><Relationship Id="rId3" Type="http://schemas.openxmlformats.org/officeDocument/2006/relationships/footnotes" Target="footnotes.xml"/><Relationship Id="rIdq3caif0hnerby3zcusqth" Type="http://schemas.openxmlformats.org/officeDocument/2006/relationships/hyperlink" Target="https://www.iii.org/fact-statistic/facts-statistics-homeowners-and-renters-insurance" TargetMode="External"/><Relationship Id="rIddbje7zw7qbm-m7qd50xav" Type="http://schemas.openxmlformats.org/officeDocument/2006/relationships/hyperlink" Target="https://libertystreeteconomics.newyorkfed.org/2026/04/what-millions-of-homeowners-insurance-contracts-reveal-about-risk-sharin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comments" Target="comments.xml"/><Relationship Id="rId2t7rgjfv5tjldxvz3eufk" Type="http://schemas.openxmlformats.org/officeDocument/2006/relationships/hyperlink" Target="https://www.nfpa.org/education-and-research/research/nfpa-research/fire-statistical-reports" TargetMode="External"/><Relationship Id="rId5" Type="http://schemas.openxmlformats.org/officeDocument/2006/relationships/settings" Target="settings.xml"/><Relationship Id="rIdejfasjq2cppnod20jnjms" Type="http://schemas.openxmlformats.org/officeDocument/2006/relationships/hyperlink" Target="https://www.fire.ca.gov/our-impact/statistics" TargetMode="External"/><Relationship Id="rId15" Type="http://schemas.openxmlformats.org/officeDocument/2006/relationships/customXml" Target="../customXml/item1.xml"/><Relationship Id="rId_7jeie1q_l6l-hf1rphlj" Type="http://schemas.openxmlformats.org/officeDocument/2006/relationships/hyperlink" Target="https://www.iii.org/fact-statistic/facts-statistics-fire" TargetMode="External"/><Relationship Id="rIdpdtxfvu4ldyvvwludif_8" Type="http://schemas.openxmlformats.org/officeDocument/2006/relationships/hyperlink" Target="https://content.naic.org/cipr-topics/homeowners-insurance" TargetMode="External"/><Relationship Id="rId4"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A9A717A90D4EAF153DABF914A360" ma:contentTypeVersion="30" ma:contentTypeDescription="Create a new document." ma:contentTypeScope="" ma:versionID="118bbace4330ca90eae51b3835ca2663">
  <xsd:schema xmlns:xsd="http://www.w3.org/2001/XMLSchema" xmlns:xs="http://www.w3.org/2001/XMLSchema" xmlns:p="http://schemas.microsoft.com/office/2006/metadata/properties" xmlns:ns1="http://schemas.microsoft.com/sharepoint/v3" xmlns:ns2="17916287-2689-4bda-a7ea-248f56faa6a1" xmlns:ns3="93eb43d4-a9d6-42db-81e1-9fae3c7b6d2a" targetNamespace="http://schemas.microsoft.com/office/2006/metadata/properties" ma:root="true" ma:fieldsID="6d6965cd2c7fcbf31b99fd2a31ba032c" ns1:_="" ns2:_="" ns3:_="">
    <xsd:import namespace="http://schemas.microsoft.com/sharepoint/v3"/>
    <xsd:import namespace="17916287-2689-4bda-a7ea-248f56faa6a1"/>
    <xsd:import namespace="93eb43d4-a9d6-42db-81e1-9fae3c7b6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Entry" minOccurs="0"/>
                <xsd:element ref="ns2:PlanningType" minOccurs="0"/>
                <xsd:element ref="ns2:Subtype" minOccurs="0"/>
                <xsd:element ref="ns2:Quality" minOccurs="0"/>
                <xsd:element ref="ns2:Organization" minOccurs="0"/>
                <xsd:element ref="ns2:ValueMessaging" minOccurs="0"/>
                <xsd:element ref="ns2:Fit_x002f_Tone" minOccurs="0"/>
                <xsd:element ref="ns2:VisualAppeal" minOccurs="0"/>
                <xsd:element ref="ns2:Action" minOccurs="0"/>
                <xsd:element ref="ns2:Sc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16287-2689-4bda-a7ea-248f56faa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a2ce62-e693-4979-a7ad-c173e0eb9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aEntry" ma:index="28" nillable="true" ma:displayName="Data Entry" ma:description="Entered" ma:format="Dropdown" ma:internalName="DataEntry">
      <xsd:simpleType>
        <xsd:restriction base="dms:Choice">
          <xsd:enumeration value="Input"/>
          <xsd:enumeration value="Not"/>
          <xsd:enumeration value="Duplicate--not input"/>
        </xsd:restriction>
      </xsd:simpleType>
    </xsd:element>
    <xsd:element name="PlanningType" ma:index="29" nillable="true" ma:displayName="Notes" ma:default="sjs" ma:description="shhd" ma:format="Dropdown" ma:internalName="PlanningType">
      <xsd:simpleType>
        <xsd:restriction base="dms:Note">
          <xsd:maxLength value="255"/>
        </xsd:restriction>
      </xsd:simpleType>
    </xsd:element>
    <xsd:element name="Subtype" ma:index="30" nillable="true" ma:displayName="Subtype" ma:format="Dropdown" ma:internalName="Subtype">
      <xsd:simpleType>
        <xsd:restriction base="dms:Text">
          <xsd:maxLength value="255"/>
        </xsd:restriction>
      </xsd:simpleType>
    </xsd:element>
    <xsd:element name="Quality" ma:index="31" nillable="true" ma:displayName="Clarity/Simplicity" ma:description="1 = Jargon-heavy or confusing; 3 = Generally clear; 5 = Crystal clear and accessible " ma:format="Dropdown" ma:internalName="Quality">
      <xsd:simpleType>
        <xsd:restriction base="dms:Text">
          <xsd:maxLength value="255"/>
        </xsd:restriction>
      </xsd:simpleType>
    </xsd:element>
    <xsd:element name="Organization" ma:index="32" nillable="true" ma:displayName="Organization" ma:description="1 = Disorganized or scattered; 3 = Acceptable flow; 5 = Logical and smooth " ma:format="Dropdown" ma:internalName="Organization" ma:percentage="FALSE">
      <xsd:simpleType>
        <xsd:restriction base="dms:Number">
          <xsd:maxInclusive value="5"/>
          <xsd:minInclusive value="1"/>
        </xsd:restriction>
      </xsd:simpleType>
    </xsd:element>
    <xsd:element name="ValueMessaging" ma:index="33" nillable="true" ma:displayName="Value Messaging" ma:description="1 = Missing or vague; 3 = Mentioned; 5 = Strong, persuasive, client-focused message " ma:format="Dropdown" ma:internalName="ValueMessaging" ma:percentage="FALSE">
      <xsd:simpleType>
        <xsd:restriction base="dms:Number">
          <xsd:maxInclusive value="5"/>
          <xsd:minInclusive value="1"/>
        </xsd:restriction>
      </xsd:simpleType>
    </xsd:element>
    <xsd:element name="Fit_x002f_Tone" ma:index="34" nillable="true" ma:displayName="Duplicate" ma:description="If duplicate-- or near duplicate&#10;There are two in a pair--label first: 1, second: 2" ma:format="Dropdown" ma:internalName="Fit_x002f_Tone" ma:percentage="FALSE">
      <xsd:simpleType>
        <xsd:restriction base="dms:Number">
          <xsd:maxInclusive value="2"/>
          <xsd:minInclusive value="1"/>
        </xsd:restriction>
      </xsd:simpleType>
    </xsd:element>
    <xsd:element name="VisualAppeal" ma:index="35" nillable="true" ma:displayName="Visual Appeal" ma:description="1 = Dated/sloppy; 3 = Adequate; 5 = Polished and visually appealing " ma:format="Dropdown" ma:internalName="VisualAppeal" ma:percentage="FALSE">
      <xsd:simpleType>
        <xsd:restriction base="dms:Number">
          <xsd:maxInclusive value="5"/>
          <xsd:minInclusive value="1"/>
        </xsd:restriction>
      </xsd:simpleType>
    </xsd:element>
    <xsd:element name="Action" ma:index="36" nillable="true" ma:displayName="Action" ma:format="Dropdown" ma:internalName="Action">
      <xsd:simpleType>
        <xsd:restriction base="dms:Text">
          <xsd:maxLength value="255"/>
        </xsd:restriction>
      </xsd:simpleType>
    </xsd:element>
    <xsd:element name="Score" ma:index="37" nillable="true" ma:displayName="Score" ma:description="Total Rubric Score--Higher is better" ma:format="Dropdown" ma:internalName="Scor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eb43d4-a9d6-42db-81e1-9fae3c7b6d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02a8dbc-ccfc-44b0-bfc9-12c007e43513}" ma:internalName="TaxCatchAll" ma:showField="CatchAllData" ma:web="93eb43d4-a9d6-42db-81e1-9fae3c7b6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ty xmlns="17916287-2689-4bda-a7ea-248f56faa6a1" xsi:nil="true"/>
    <VisualAppeal xmlns="17916287-2689-4bda-a7ea-248f56faa6a1" xsi:nil="true"/>
    <_ip_UnifiedCompliancePolicyUIAction xmlns="http://schemas.microsoft.com/sharepoint/v3" xsi:nil="true"/>
    <Score xmlns="17916287-2689-4bda-a7ea-248f56faa6a1" xsi:nil="true"/>
    <DataEntry xmlns="17916287-2689-4bda-a7ea-248f56faa6a1" xsi:nil="true"/>
    <PlanningType xmlns="17916287-2689-4bda-a7ea-248f56faa6a1">sjs</PlanningType>
    <_ip_UnifiedCompliancePolicyProperties xmlns="http://schemas.microsoft.com/sharepoint/v3" xsi:nil="true"/>
    <Fit_x002f_Tone xmlns="17916287-2689-4bda-a7ea-248f56faa6a1" xsi:nil="true"/>
    <ValueMessaging xmlns="17916287-2689-4bda-a7ea-248f56faa6a1" xsi:nil="true"/>
    <TaxCatchAll xmlns="93eb43d4-a9d6-42db-81e1-9fae3c7b6d2a" xsi:nil="true"/>
    <Action xmlns="17916287-2689-4bda-a7ea-248f56faa6a1" xsi:nil="true"/>
    <Organization xmlns="17916287-2689-4bda-a7ea-248f56faa6a1" xsi:nil="true"/>
    <Subtype xmlns="17916287-2689-4bda-a7ea-248f56faa6a1" xsi:nil="true"/>
    <lcf76f155ced4ddcb4097134ff3c332f xmlns="17916287-2689-4bda-a7ea-248f56faa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7E6EA-D76C-4B7F-8544-8B0A179E0C46}"/>
</file>

<file path=customXml/itemProps2.xml><?xml version="1.0" encoding="utf-8"?>
<ds:datastoreItem xmlns:ds="http://schemas.openxmlformats.org/officeDocument/2006/customXml" ds:itemID="{B6FE10A6-D16C-40B7-84EC-B1977F3B17B4}"/>
</file>

<file path=customXml/itemProps3.xml><?xml version="1.0" encoding="utf-8"?>
<ds:datastoreItem xmlns:ds="http://schemas.openxmlformats.org/officeDocument/2006/customXml" ds:itemID="{58A7E1AD-55C1-4752-A4FA-3E53B53EFE1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2026-06-10T20:32:13Z</dcterms:created>
  <dcterms:modified xsi:type="dcterms:W3CDTF">2026-06-10T20:32:13Z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0x010100350DA9A717A90D4EAF153DABF914A360</vt:lpwstr>
  </property>
</Properties>
</file>